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198</w:t>
      </w:r>
    </w:p>
    <w:p>
      <w:r>
        <w:t>Bundesgericht (BGE), 2018-01-01, DE</w:t>
      </w:r>
    </w:p>
    <w:p>
      <w:r>
        <w:rPr>
          <w:b/>
        </w:rPr>
        <w:t xml:space="preserve">Quelle: </w:t>
      </w:r>
      <w:r>
        <w:t>https://mcp.opencaselaw.ch/entscheid/bge_144 IV 198</w:t>
      </w:r>
    </w:p>
    <w:p>
      <w:r>
        <w:t>FR: ATF 144 IV 198</w:t>
      </w:r>
    </w:p>
    <w:p>
      <w:r>
        <w:t>IT: DTF 144 IV 198</w:t>
      </w:r>
    </w:p>
    <w:p>
      <w:pPr>
        <w:pStyle w:val="Heading2"/>
      </w:pPr>
      <w:r>
        <w:t>Regeste</w:t>
      </w:r>
    </w:p>
    <w:p>
      <w:r>
        <w:t>Regeste Art. 391 Abs. 2 StPO, Art. 34 Abs. 2 Satz 3 StGB; Verschlechterungsverbot und Höhe des Tagessatzes von Geldstrafen. Aufgrund von Tatsachen, die dem erstinstanzlichen Gericht nicht bekannt sein konnten, kann die Rechtsmittelinstanz eine strengere Bestrafung ausfällen, auch wenn das Rechtsmittel nur zu Gunsten der beschuldigten Person ergriffen worden ist. Ob solche Tatsachen vor oder nach dem erstinstanzlichen Urteil eingetreten sind, ist unerheblich (E. 5.3). Die persönlichen und wirtschaftlichen Verhältnisse zur Bemessung der Höhe des Tagessatzes nach Art. 34 Abs. 2 Satz 3 StGB können solche Tatsachen sein. Das Berufungsgericht verletzt mit der Erhöhung des Tagessatzes angesichts der von ihm festgestellten und nach dem erstinstanzlichen Urteil verbesserten finanziellen Verhältnisse des Beschwerdeführers das Verschlechterungsverbot nicht (E. 5.4).</w:t>
      </w:r>
    </w:p>
    <w:p>
      <w:pPr>
        <w:pStyle w:val="Heading2"/>
      </w:pPr>
      <w:r>
        <w:t>Erwägungen</w:t>
      </w:r>
    </w:p>
    <w:p>
      <w:r>
        <w:rPr>
          <w:b/>
        </w:rPr>
        <w:t>E. 5</w:t>
      </w:r>
    </w:p>
    <w:p>
      <w:r>
        <w:t>(...)</w:t>
      </w:r>
    </w:p>
    <w:p>
      <w:r>
        <w:rPr>
          <w:b/>
        </w:rPr>
        <w:t>E. 5.3</w:t>
      </w:r>
    </w:p>
    <w:p>
      <w:r>
        <w:t>Gemäss der am 1. Januar 2018 in Kraft getretenen, aber unveränderten Fassung von Art. 34 Abs. 2 Satz 3 StGB bestimmt das Gericht die Höhe des Tagessatzes nach den persönlichen und wirtschaftlichen Verhältnissen des Täters im Zeitpunkt des Urteils. Die Rechtsmittelinstanz darf Entscheide jedoch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 BGE 142 IV 89 E. 2.1 S. 90 mit Hinweisen). Vorbehalten bleibt nach Art. 391 Abs. 2 Satz 2 StPO indes eine strengere Bestrafung aufgrund von Tatsachen, die dem erstinstanzlichen Gericht nicht bekannt sein konnten. Ob solche Tatsachen vor oder nach dem erstinstanzlichen Urteil eingetreten sind, ist unerheblich (vgl. SCHMID/JOSITSCH, Handbuch des schweizerischen Strafprozessrechts, 3. Aufl. 2017, N. 1494; VIKTOR LIEBER, in: Kommentar zur Schweizerischen Strafprozessordnung [StPO], Donatsch/Hansjakob/Lieber [Hrsg.], 2. Aufl. 2014, N. 21 zu Art. 391 StPO ).</w:t>
      </w:r>
    </w:p>
    <w:p>
      <w:r>
        <w:rPr>
          <w:b/>
        </w:rPr>
        <w:t>E. 5.4.1</w:t>
      </w:r>
    </w:p>
    <w:p>
      <w:r>
        <w:t>Das vorinstanzliche Urteil erging auf Berufung der drei beschuldigten Personen einschliesslich des Beschwerdeführers hin. Die weiteren Parteien erklärten keine Berufung oder Anschlussberufung. Nach Art. 391 Abs. 2 Satz 1 StPO durfte die Vorinstanz den erstinstanzlichen Entscheid deshalb grundsätzlich nicht zum Nachteil des Beschwerdeführers abändern. Weder der Beschwerdeführer noch die Vorinstanz setzen sich indessen mit dem Vorbehalt des BGE 144 IV 198 S. 201 Verschlechterungsverbots in Art. 391 Abs. 2 Satz 2 StPO auseinander. Dies ist im Folgenden nachzuholen (vgl. Art. 106 Abs. 1 BGG ).</w:t>
      </w:r>
    </w:p>
    <w:p>
      <w:r>
        <w:rPr>
          <w:b/>
        </w:rPr>
        <w:t>E. 5.4.2</w:t>
      </w:r>
    </w:p>
    <w:p>
      <w:r>
        <w:t>Der Standpunkt des Beschwerdeführers, es könne nicht von veränderten finanziellen Verhältnissen ausgegangen werden, ist nicht nachvollziehbar. Er beschränkt sich darauf, sein durch die beiden kantonalen Instanzen jeweils unterschiedlich festgestelltes Einkommen wiederzugeben. Das Einkommen des Täters bildet zudem lediglich Ausgangspunkt für die Bemessung der Höhe des Tagessatzes (vgl. BGE 134 IV 60 E. 6.1 ff. mit Hinweisen). Zu den weiteren zu berücksichtigenden Kriterien, welche die Vorinstanz in ihrer Begründung ebenfalls herangezogen hat (vgl. nicht publ. E. 5.2), äussert er sich nicht. Die entsprechenden vorinstanzlichen Erwägungen, auf welche verwiesen werden kann, lassen ohne Weiteres den Schluss zu, dass sich die finanziellen Verhältnisse des Beschwerdeführers seit dem Zeitpunkt des erstinstanzlichen Urteils vom 27. März 2015 nicht nur verändert, sondern verbessert haben.</w:t>
      </w:r>
    </w:p>
    <w:p>
      <w:r>
        <w:rPr>
          <w:b/>
        </w:rPr>
        <w:t>E. 5.4.3</w:t>
      </w:r>
    </w:p>
    <w:p>
      <w:r>
        <w:t>Die von der Vorinstanz festgestellten verbesserten finanziellen Verhältnisse des Beschwerdeführers sind Tatsachen im Sinne von Art. 391 Abs. 2 Satz 2 StPO , die dem erstinstanzlichen Gericht zum Zeitpunkt seines Urteils noch nicht bekannt sein konnten. Die Vorinstanz durfte angesichts dieser Tatsachen gestützt auf Art. 391 Abs. 2 Satz 2 StPO die Höhe der einzelnen Tagessätze anpassen. Hätte sie dies nicht getan, wäre sie dem Prinzip, nach welchem der wirtschaftlich Starke von einer Geldstrafe nicht minder hart getroffen werden darf als der wirtschaftlich Schwache, nicht gerecht geworden (vgl. BGE 134 IV 82 E. 7.2.4 S. 91 mit Hinweisen). Es wäre zudem stossend, wenn Tatsachen, von denen erst nach dem Urteil des erstinstanzlichen Urteils Kenntnis erlangt wurde, nicht - auch zum Nachteil der beschuldigten Person - verwendet werden könnten (vgl. Botschaft vom 21. Dezember 2005 zur Vereinheitlichung des Strafprozessrechts, BBl 2006 1311 Ziff. 2.9.1). Die sinngemässe Rüge des Beschwerdeführers, die Regelung nach Art. 34 Abs. 2 StGB , wonach die persönlichen und wirtschaftlichen Verhältnisse des Täters im Zeitpunkt des Urteils massgebend sind, könne keine Ausnahme vom Verschlechterungsverbot gemäss Art. 391 Abs. 2 Satz 1 StPO darstellen, braucht aufgrund der Anwendung von Art. 391 Abs. 2 Satz 2 StPO an dieser Stelle folglich nicht beantwortet zu werden. Immerhin ist in diesem Zusammenhang darauf hinzuweisen, dass das Verbot der reformatio in peius nicht zu den verfassungsmässigen Rechten zählt und sich auch nicht aus der EMRK BGE 144 IV 198 S. 202 herleiten lässt (vgl. BGE 139 IV 282 E. 2.3.1 S. 284 mit Hinweisen). Im Ergebnis hat die Vorinstanz das Verschlechterungsverbot nicht verletzt und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